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C4F" w:rsidRDefault="00C97C4F" w:rsidP="008E65CD">
      <w:pPr>
        <w:tabs>
          <w:tab w:val="left" w:pos="5880"/>
        </w:tabs>
        <w:autoSpaceDE/>
        <w:autoSpaceDN/>
        <w:adjustRightInd/>
        <w:ind w:firstLine="709"/>
        <w:outlineLvl w:val="1"/>
        <w:rPr>
          <w:rFonts w:eastAsia="Calibri"/>
          <w:b/>
          <w:bCs w:val="0"/>
          <w:lang w:eastAsia="en-US"/>
        </w:rPr>
      </w:pPr>
      <w:bookmarkStart w:id="0" w:name="_Toc92721960"/>
      <w:r>
        <w:rPr>
          <w:rFonts w:eastAsia="Calibri"/>
          <w:b/>
          <w:bCs w:val="0"/>
          <w:lang w:eastAsia="en-US"/>
        </w:rPr>
        <w:t>В Свердловской области завершена независимая оценка качества условий оказания услуг образовательными организациями, проходившая с июня по декабрь 2021 года.</w:t>
      </w:r>
    </w:p>
    <w:bookmarkEnd w:id="0"/>
    <w:p w:rsidR="0047025A" w:rsidRPr="00B36081" w:rsidRDefault="0047025A" w:rsidP="0047025A">
      <w:pPr>
        <w:autoSpaceDE/>
        <w:autoSpaceDN/>
        <w:adjustRightInd/>
        <w:ind w:firstLine="709"/>
        <w:rPr>
          <w:rFonts w:eastAsiaTheme="minorHAnsi"/>
          <w:bCs w:val="0"/>
          <w:szCs w:val="24"/>
          <w:lang w:eastAsia="en-US"/>
        </w:rPr>
      </w:pPr>
      <w:r w:rsidRPr="00B36081">
        <w:rPr>
          <w:rFonts w:eastAsiaTheme="minorHAnsi"/>
          <w:bCs w:val="0"/>
          <w:szCs w:val="24"/>
          <w:lang w:eastAsia="en-US"/>
        </w:rPr>
        <w:t xml:space="preserve">Итоговый </w:t>
      </w:r>
      <w:r>
        <w:rPr>
          <w:rFonts w:eastAsiaTheme="minorHAnsi"/>
          <w:bCs w:val="0"/>
          <w:szCs w:val="24"/>
          <w:lang w:eastAsia="en-US"/>
        </w:rPr>
        <w:t xml:space="preserve">интегральный </w:t>
      </w:r>
      <w:r w:rsidRPr="00B36081">
        <w:rPr>
          <w:rFonts w:eastAsiaTheme="minorHAnsi"/>
          <w:bCs w:val="0"/>
          <w:szCs w:val="24"/>
          <w:lang w:eastAsia="en-US"/>
        </w:rPr>
        <w:t xml:space="preserve">показатель </w:t>
      </w:r>
      <w:proofErr w:type="gramStart"/>
      <w:r w:rsidRPr="00B36081">
        <w:rPr>
          <w:rFonts w:eastAsiaTheme="minorHAnsi"/>
          <w:bCs w:val="0"/>
          <w:szCs w:val="24"/>
          <w:lang w:eastAsia="en-US"/>
        </w:rPr>
        <w:t xml:space="preserve">оценки качества </w:t>
      </w:r>
      <w:r>
        <w:rPr>
          <w:rFonts w:eastAsiaTheme="minorHAnsi"/>
          <w:bCs w:val="0"/>
          <w:szCs w:val="24"/>
          <w:lang w:eastAsia="en-US"/>
        </w:rPr>
        <w:t xml:space="preserve">условий </w:t>
      </w:r>
      <w:r w:rsidRPr="00B36081">
        <w:rPr>
          <w:rFonts w:eastAsiaTheme="minorHAnsi"/>
          <w:bCs w:val="0"/>
          <w:szCs w:val="24"/>
          <w:lang w:eastAsia="en-US"/>
        </w:rPr>
        <w:t>осуществления образовательной деятельности</w:t>
      </w:r>
      <w:proofErr w:type="gramEnd"/>
      <w:r w:rsidRPr="00B36081">
        <w:rPr>
          <w:rFonts w:eastAsiaTheme="minorHAnsi"/>
          <w:bCs w:val="0"/>
          <w:szCs w:val="24"/>
          <w:lang w:eastAsia="en-US"/>
        </w:rPr>
        <w:t xml:space="preserve"> организациями, расположенными на территории Свердловской области, </w:t>
      </w:r>
      <w:r>
        <w:rPr>
          <w:rFonts w:eastAsiaTheme="minorHAnsi"/>
          <w:bCs w:val="0"/>
          <w:szCs w:val="24"/>
          <w:lang w:eastAsia="en-US"/>
        </w:rPr>
        <w:t xml:space="preserve">в 2021 году </w:t>
      </w:r>
      <w:r w:rsidRPr="00B36081">
        <w:rPr>
          <w:rFonts w:eastAsiaTheme="minorHAnsi"/>
          <w:bCs w:val="0"/>
          <w:szCs w:val="24"/>
          <w:lang w:eastAsia="en-US"/>
        </w:rPr>
        <w:t xml:space="preserve">в целом составил </w:t>
      </w:r>
      <w:r w:rsidRPr="00B36081">
        <w:rPr>
          <w:rFonts w:eastAsiaTheme="minorHAnsi"/>
          <w:b/>
          <w:bCs w:val="0"/>
          <w:szCs w:val="24"/>
          <w:lang w:eastAsia="en-US"/>
        </w:rPr>
        <w:t xml:space="preserve">86,91 </w:t>
      </w:r>
      <w:r w:rsidRPr="00B36081">
        <w:rPr>
          <w:rFonts w:eastAsiaTheme="minorHAnsi"/>
          <w:bCs w:val="0"/>
          <w:szCs w:val="24"/>
          <w:lang w:eastAsia="en-US"/>
        </w:rPr>
        <w:t>балла.</w:t>
      </w:r>
    </w:p>
    <w:p w:rsidR="0047025A" w:rsidRDefault="0047025A" w:rsidP="0047025A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8"/>
        <w:jc w:val="left"/>
        <w:rPr>
          <w:rFonts w:eastAsiaTheme="minorHAnsi"/>
          <w:bCs w:val="0"/>
          <w:szCs w:val="24"/>
          <w:lang w:eastAsia="en-US"/>
        </w:rPr>
      </w:pPr>
      <w:r w:rsidRPr="00B36081">
        <w:rPr>
          <w:rFonts w:eastAsiaTheme="minorHAnsi"/>
          <w:bCs w:val="0"/>
          <w:szCs w:val="24"/>
          <w:lang w:eastAsia="en-US"/>
        </w:rPr>
        <w:t xml:space="preserve">для </w:t>
      </w:r>
      <w:r w:rsidR="00C97C4F">
        <w:rPr>
          <w:rFonts w:eastAsiaTheme="minorHAnsi"/>
          <w:bCs w:val="0"/>
          <w:szCs w:val="24"/>
          <w:lang w:eastAsia="en-US"/>
        </w:rPr>
        <w:t xml:space="preserve">муниципальных </w:t>
      </w:r>
      <w:r w:rsidRPr="00B36081">
        <w:rPr>
          <w:rFonts w:eastAsiaTheme="minorHAnsi"/>
          <w:b/>
          <w:bCs w:val="0"/>
          <w:szCs w:val="24"/>
          <w:lang w:eastAsia="en-US"/>
        </w:rPr>
        <w:t xml:space="preserve">общеобразовательных </w:t>
      </w:r>
      <w:r w:rsidRPr="00B36081">
        <w:rPr>
          <w:rFonts w:eastAsiaTheme="minorHAnsi"/>
          <w:szCs w:val="24"/>
          <w:lang w:eastAsia="en-US"/>
        </w:rPr>
        <w:t>учреждений</w:t>
      </w:r>
      <w:r w:rsidRPr="00B36081">
        <w:rPr>
          <w:rFonts w:eastAsiaTheme="minorHAnsi"/>
          <w:bCs w:val="0"/>
          <w:szCs w:val="24"/>
          <w:lang w:eastAsia="en-US"/>
        </w:rPr>
        <w:t xml:space="preserve"> – </w:t>
      </w:r>
      <w:r w:rsidRPr="00B36081">
        <w:rPr>
          <w:rFonts w:eastAsiaTheme="minorHAnsi"/>
          <w:b/>
          <w:szCs w:val="24"/>
          <w:lang w:eastAsia="en-US"/>
        </w:rPr>
        <w:t>86,</w:t>
      </w:r>
      <w:r w:rsidR="00C97C4F">
        <w:rPr>
          <w:rFonts w:eastAsiaTheme="minorHAnsi"/>
          <w:b/>
          <w:szCs w:val="24"/>
          <w:lang w:eastAsia="en-US"/>
        </w:rPr>
        <w:t>43</w:t>
      </w:r>
      <w:r w:rsidRPr="00B36081">
        <w:rPr>
          <w:rFonts w:eastAsiaTheme="minorHAnsi"/>
          <w:b/>
          <w:szCs w:val="24"/>
          <w:lang w:eastAsia="en-US"/>
        </w:rPr>
        <w:t xml:space="preserve"> </w:t>
      </w:r>
      <w:r w:rsidRPr="00B36081">
        <w:rPr>
          <w:rFonts w:eastAsiaTheme="minorHAnsi"/>
          <w:bCs w:val="0"/>
          <w:szCs w:val="24"/>
          <w:lang w:eastAsia="en-US"/>
        </w:rPr>
        <w:t>балла;</w:t>
      </w:r>
    </w:p>
    <w:p w:rsidR="00C97C4F" w:rsidRDefault="00C97C4F" w:rsidP="0047025A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8"/>
        <w:jc w:val="left"/>
        <w:rPr>
          <w:rFonts w:eastAsiaTheme="minorHAnsi"/>
          <w:bCs w:val="0"/>
          <w:szCs w:val="24"/>
          <w:lang w:eastAsia="en-US"/>
        </w:rPr>
      </w:pPr>
      <w:r>
        <w:rPr>
          <w:rFonts w:eastAsiaTheme="minorHAnsi"/>
          <w:bCs w:val="0"/>
          <w:szCs w:val="24"/>
          <w:lang w:eastAsia="en-US"/>
        </w:rPr>
        <w:t xml:space="preserve">Каменск-Уральский – </w:t>
      </w:r>
      <w:r w:rsidRPr="008E65CD">
        <w:rPr>
          <w:rFonts w:eastAsiaTheme="minorHAnsi"/>
          <w:b/>
          <w:bCs w:val="0"/>
          <w:szCs w:val="24"/>
          <w:lang w:eastAsia="en-US"/>
        </w:rPr>
        <w:t>87,64</w:t>
      </w:r>
      <w:r>
        <w:rPr>
          <w:rFonts w:eastAsiaTheme="minorHAnsi"/>
          <w:bCs w:val="0"/>
          <w:szCs w:val="24"/>
          <w:lang w:eastAsia="en-US"/>
        </w:rPr>
        <w:t xml:space="preserve"> балла</w:t>
      </w:r>
    </w:p>
    <w:p w:rsidR="00C97C4F" w:rsidRPr="008E65CD" w:rsidRDefault="00C97C4F" w:rsidP="0047025A">
      <w:pPr>
        <w:numPr>
          <w:ilvl w:val="0"/>
          <w:numId w:val="1"/>
        </w:numPr>
        <w:tabs>
          <w:tab w:val="num" w:pos="993"/>
        </w:tabs>
        <w:autoSpaceDE/>
        <w:autoSpaceDN/>
        <w:adjustRightInd/>
        <w:ind w:left="0" w:firstLine="708"/>
        <w:jc w:val="left"/>
        <w:rPr>
          <w:rFonts w:eastAsiaTheme="minorHAnsi"/>
          <w:b/>
          <w:bCs w:val="0"/>
          <w:szCs w:val="24"/>
          <w:lang w:eastAsia="en-US"/>
        </w:rPr>
      </w:pPr>
      <w:r w:rsidRPr="008E65CD">
        <w:rPr>
          <w:rFonts w:eastAsiaTheme="minorHAnsi"/>
          <w:b/>
          <w:bCs w:val="0"/>
          <w:szCs w:val="24"/>
          <w:lang w:eastAsia="en-US"/>
        </w:rPr>
        <w:t>Средняя школа № 38 – 87,78 балла, что соответствует оценке «отлично».</w:t>
      </w:r>
    </w:p>
    <w:p w:rsidR="008E65CD" w:rsidRDefault="008E65CD" w:rsidP="008E65CD">
      <w:pPr>
        <w:autoSpaceDE/>
        <w:autoSpaceDN/>
        <w:adjustRightInd/>
        <w:ind w:firstLine="708"/>
        <w:rPr>
          <w:rFonts w:eastAsiaTheme="minorHAnsi"/>
          <w:bCs w:val="0"/>
          <w:szCs w:val="24"/>
          <w:lang w:eastAsia="en-US"/>
        </w:rPr>
      </w:pPr>
      <w:r w:rsidRPr="004F4F33">
        <w:rPr>
          <w:rFonts w:eastAsiaTheme="minorHAnsi"/>
          <w:bCs w:val="0"/>
          <w:szCs w:val="24"/>
          <w:lang w:eastAsia="en-US"/>
        </w:rPr>
        <w:t xml:space="preserve">Результаты </w:t>
      </w:r>
      <w:r>
        <w:rPr>
          <w:rFonts w:eastAsiaTheme="minorHAnsi"/>
          <w:bCs w:val="0"/>
          <w:szCs w:val="24"/>
          <w:lang w:eastAsia="en-US"/>
        </w:rPr>
        <w:t>подводились</w:t>
      </w:r>
      <w:r w:rsidRPr="004F4F33">
        <w:rPr>
          <w:rFonts w:eastAsiaTheme="minorHAnsi"/>
          <w:bCs w:val="0"/>
          <w:szCs w:val="24"/>
          <w:lang w:eastAsia="en-US"/>
        </w:rPr>
        <w:t xml:space="preserve"> по 5-и уровням оценки (высокий, выше среднего, средний, ниже среднего, низкий) в соответствии с группировкой на портале </w:t>
      </w:r>
      <w:proofErr w:type="spellStart"/>
      <w:r w:rsidRPr="004F4F33">
        <w:rPr>
          <w:rFonts w:eastAsiaTheme="minorHAnsi"/>
          <w:bCs w:val="0"/>
          <w:szCs w:val="24"/>
          <w:lang w:eastAsia="en-US"/>
        </w:rPr>
        <w:t>bus.gov.ru</w:t>
      </w:r>
      <w:proofErr w:type="spellEnd"/>
      <w:r w:rsidRPr="004F4F33">
        <w:rPr>
          <w:rFonts w:eastAsiaTheme="minorHAnsi"/>
          <w:bCs w:val="0"/>
          <w:szCs w:val="24"/>
          <w:lang w:eastAsia="en-US"/>
        </w:rPr>
        <w:t>.</w:t>
      </w:r>
    </w:p>
    <w:p w:rsidR="008E65CD" w:rsidRPr="008E65CD" w:rsidRDefault="008E65CD" w:rsidP="008E65CD">
      <w:pPr>
        <w:autoSpaceDE/>
        <w:autoSpaceDN/>
        <w:adjustRightInd/>
        <w:ind w:firstLine="708"/>
        <w:rPr>
          <w:rFonts w:eastAsiaTheme="minorHAnsi"/>
          <w:bCs w:val="0"/>
          <w:szCs w:val="24"/>
          <w:lang w:eastAsia="en-US"/>
        </w:rPr>
      </w:pPr>
      <w:r w:rsidRPr="008E65CD">
        <w:rPr>
          <w:rFonts w:eastAsiaTheme="minorHAnsi"/>
          <w:bCs w:val="0"/>
          <w:szCs w:val="24"/>
          <w:lang w:eastAsia="en-US"/>
        </w:rPr>
        <w:t>Максимальный балл – 100.</w:t>
      </w:r>
    </w:p>
    <w:tbl>
      <w:tblPr>
        <w:tblStyle w:val="3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976"/>
        <w:gridCol w:w="2127"/>
      </w:tblGrid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4F4F33">
              <w:rPr>
                <w:rFonts w:eastAsiaTheme="minorEastAsia"/>
                <w:b/>
                <w:szCs w:val="24"/>
                <w:lang w:eastAsia="en-US"/>
              </w:rPr>
              <w:t>Уровень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4F4F33">
              <w:rPr>
                <w:rFonts w:eastAsiaTheme="minorEastAsia"/>
                <w:b/>
                <w:szCs w:val="24"/>
                <w:lang w:eastAsia="en-US"/>
              </w:rPr>
              <w:t>Балл</w:t>
            </w:r>
          </w:p>
        </w:tc>
      </w:tr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FB611D">
              <w:rPr>
                <w:rFonts w:eastAsiaTheme="minorEastAsia"/>
                <w:szCs w:val="24"/>
                <w:lang w:eastAsia="en-US"/>
              </w:rPr>
              <w:t>Отлично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F4F33">
              <w:rPr>
                <w:rFonts w:eastAsiaTheme="minorEastAsia"/>
                <w:szCs w:val="24"/>
                <w:lang w:eastAsia="en-US"/>
              </w:rPr>
              <w:t>81-100</w:t>
            </w:r>
          </w:p>
        </w:tc>
      </w:tr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FB611D">
              <w:rPr>
                <w:rFonts w:eastAsiaTheme="minorEastAsia"/>
                <w:szCs w:val="24"/>
                <w:lang w:eastAsia="en-US"/>
              </w:rPr>
              <w:t>Хорошо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F4F33">
              <w:rPr>
                <w:rFonts w:eastAsiaTheme="minorEastAsia"/>
                <w:szCs w:val="24"/>
                <w:lang w:eastAsia="en-US"/>
              </w:rPr>
              <w:t>61-80</w:t>
            </w:r>
          </w:p>
        </w:tc>
      </w:tr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FB611D">
              <w:rPr>
                <w:rFonts w:eastAsiaTheme="minorEastAsia"/>
                <w:szCs w:val="24"/>
                <w:lang w:eastAsia="en-US"/>
              </w:rPr>
              <w:t>Удовлетворительно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F4F33">
              <w:rPr>
                <w:rFonts w:eastAsiaTheme="minorEastAsia"/>
                <w:szCs w:val="24"/>
                <w:lang w:eastAsia="en-US"/>
              </w:rPr>
              <w:t>40-60</w:t>
            </w:r>
          </w:p>
        </w:tc>
      </w:tr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FB611D">
              <w:rPr>
                <w:rFonts w:eastAsiaTheme="minorEastAsia"/>
                <w:szCs w:val="24"/>
                <w:lang w:eastAsia="en-US"/>
              </w:rPr>
              <w:t>Ниже среднего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F4F33">
              <w:rPr>
                <w:rFonts w:eastAsiaTheme="minorEastAsia"/>
                <w:szCs w:val="24"/>
                <w:lang w:eastAsia="en-US"/>
              </w:rPr>
              <w:t>20-39</w:t>
            </w:r>
          </w:p>
        </w:tc>
      </w:tr>
      <w:tr w:rsidR="008E65CD" w:rsidRPr="004F4F33" w:rsidTr="00E21591">
        <w:trPr>
          <w:jc w:val="center"/>
        </w:trPr>
        <w:tc>
          <w:tcPr>
            <w:tcW w:w="2976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FB611D">
              <w:rPr>
                <w:rFonts w:eastAsiaTheme="minorEastAsia"/>
                <w:szCs w:val="24"/>
                <w:lang w:eastAsia="en-US"/>
              </w:rPr>
              <w:t>Неудовлетворительно</w:t>
            </w:r>
          </w:p>
        </w:tc>
        <w:tc>
          <w:tcPr>
            <w:tcW w:w="2127" w:type="dxa"/>
          </w:tcPr>
          <w:p w:rsidR="008E65CD" w:rsidRPr="004F4F33" w:rsidRDefault="008E65CD" w:rsidP="00E21591">
            <w:pPr>
              <w:autoSpaceDE/>
              <w:autoSpaceDN/>
              <w:adjustRightInd/>
              <w:spacing w:before="60" w:after="60" w:line="240" w:lineRule="auto"/>
              <w:ind w:firstLine="0"/>
              <w:jc w:val="center"/>
              <w:rPr>
                <w:rFonts w:eastAsiaTheme="minorEastAsia"/>
                <w:szCs w:val="24"/>
                <w:lang w:eastAsia="en-US"/>
              </w:rPr>
            </w:pPr>
            <w:r w:rsidRPr="004F4F33">
              <w:rPr>
                <w:rFonts w:eastAsiaTheme="minorEastAsia"/>
                <w:szCs w:val="24"/>
                <w:lang w:eastAsia="en-US"/>
              </w:rPr>
              <w:t>0-19</w:t>
            </w:r>
          </w:p>
        </w:tc>
      </w:tr>
    </w:tbl>
    <w:p w:rsidR="008E65CD" w:rsidRDefault="008E65CD" w:rsidP="008E65CD">
      <w:pPr>
        <w:autoSpaceDE/>
        <w:autoSpaceDN/>
        <w:adjustRightInd/>
        <w:ind w:firstLine="0"/>
        <w:jc w:val="left"/>
        <w:rPr>
          <w:rFonts w:eastAsiaTheme="minorHAnsi"/>
          <w:bCs w:val="0"/>
          <w:szCs w:val="24"/>
          <w:lang w:eastAsia="en-US"/>
        </w:rPr>
      </w:pPr>
    </w:p>
    <w:p w:rsidR="00C97C4F" w:rsidRDefault="00C97C4F" w:rsidP="008E65CD">
      <w:pPr>
        <w:autoSpaceDE/>
        <w:autoSpaceDN/>
        <w:adjustRightInd/>
        <w:ind w:firstLine="0"/>
        <w:jc w:val="center"/>
        <w:rPr>
          <w:rFonts w:eastAsiaTheme="minorHAnsi"/>
          <w:bCs w:val="0"/>
          <w:szCs w:val="24"/>
          <w:lang w:eastAsia="en-US"/>
        </w:rPr>
      </w:pPr>
      <w:r>
        <w:rPr>
          <w:rFonts w:eastAsiaTheme="minorHAnsi"/>
          <w:bCs w:val="0"/>
          <w:szCs w:val="24"/>
          <w:lang w:eastAsia="en-US"/>
        </w:rPr>
        <w:t xml:space="preserve">Результаты </w:t>
      </w:r>
      <w:proofErr w:type="gramStart"/>
      <w:r>
        <w:rPr>
          <w:rFonts w:eastAsiaTheme="minorHAnsi"/>
          <w:bCs w:val="0"/>
          <w:szCs w:val="24"/>
          <w:lang w:eastAsia="en-US"/>
        </w:rPr>
        <w:t>Средней</w:t>
      </w:r>
      <w:proofErr w:type="gramEnd"/>
      <w:r>
        <w:rPr>
          <w:rFonts w:eastAsiaTheme="minorHAnsi"/>
          <w:bCs w:val="0"/>
          <w:szCs w:val="24"/>
          <w:lang w:eastAsia="en-US"/>
        </w:rPr>
        <w:t xml:space="preserve"> школы № 38 по критериям НОК</w:t>
      </w:r>
    </w:p>
    <w:tbl>
      <w:tblPr>
        <w:tblStyle w:val="45"/>
        <w:tblW w:w="9606" w:type="dxa"/>
        <w:tblLayout w:type="fixed"/>
        <w:tblLook w:val="04A0"/>
      </w:tblPr>
      <w:tblGrid>
        <w:gridCol w:w="6629"/>
        <w:gridCol w:w="1417"/>
        <w:gridCol w:w="1560"/>
      </w:tblGrid>
      <w:tr w:rsidR="00C97C4F" w:rsidRPr="004F4F33" w:rsidTr="00C97C4F">
        <w:trPr>
          <w:trHeight w:val="594"/>
          <w:tblHeader/>
        </w:trPr>
        <w:tc>
          <w:tcPr>
            <w:tcW w:w="6629" w:type="dxa"/>
            <w:noWrap/>
            <w:hideMark/>
          </w:tcPr>
          <w:p w:rsidR="00C97C4F" w:rsidRPr="004F4F33" w:rsidRDefault="00C97C4F" w:rsidP="00E21591">
            <w:pPr>
              <w:autoSpaceDE/>
              <w:autoSpaceDN/>
              <w:adjustRightInd/>
              <w:spacing w:before="20" w:after="20" w:line="240" w:lineRule="auto"/>
              <w:ind w:firstLine="0"/>
              <w:jc w:val="center"/>
              <w:rPr>
                <w:rFonts w:eastAsiaTheme="minorEastAsia"/>
                <w:b/>
                <w:szCs w:val="24"/>
                <w:lang w:eastAsia="en-US"/>
              </w:rPr>
            </w:pPr>
            <w:r w:rsidRPr="004F4F33">
              <w:rPr>
                <w:rFonts w:eastAsiaTheme="minorEastAsia"/>
                <w:b/>
                <w:bCs w:val="0"/>
                <w:szCs w:val="24"/>
                <w:lang w:eastAsia="en-US"/>
              </w:rPr>
              <w:t>Критерий</w:t>
            </w:r>
          </w:p>
        </w:tc>
        <w:tc>
          <w:tcPr>
            <w:tcW w:w="1417" w:type="dxa"/>
          </w:tcPr>
          <w:p w:rsidR="00C97C4F" w:rsidRPr="00500C0A" w:rsidRDefault="00C97C4F" w:rsidP="00E21591">
            <w:pPr>
              <w:autoSpaceDE/>
              <w:autoSpaceDN/>
              <w:adjustRightInd/>
              <w:spacing w:before="20" w:after="20" w:line="240" w:lineRule="auto"/>
              <w:ind w:firstLine="0"/>
              <w:jc w:val="center"/>
              <w:rPr>
                <w:rFonts w:eastAsiaTheme="minorEastAsia"/>
                <w:b/>
                <w:bCs w:val="0"/>
                <w:szCs w:val="24"/>
                <w:lang w:eastAsia="en-US"/>
              </w:rPr>
            </w:pPr>
            <w:r w:rsidRPr="00500C0A">
              <w:rPr>
                <w:rFonts w:eastAsiaTheme="minorEastAsia"/>
                <w:b/>
                <w:bCs w:val="0"/>
                <w:szCs w:val="24"/>
                <w:lang w:eastAsia="en-US"/>
              </w:rPr>
              <w:t>Хорошо</w:t>
            </w:r>
          </w:p>
        </w:tc>
        <w:tc>
          <w:tcPr>
            <w:tcW w:w="1560" w:type="dxa"/>
          </w:tcPr>
          <w:p w:rsidR="00C97C4F" w:rsidRPr="00500C0A" w:rsidRDefault="00C97C4F" w:rsidP="00E21591">
            <w:pPr>
              <w:autoSpaceDE/>
              <w:autoSpaceDN/>
              <w:adjustRightInd/>
              <w:spacing w:before="20" w:after="20" w:line="240" w:lineRule="auto"/>
              <w:ind w:firstLine="0"/>
              <w:jc w:val="center"/>
              <w:rPr>
                <w:rFonts w:eastAsiaTheme="minorEastAsia"/>
                <w:b/>
                <w:bCs w:val="0"/>
                <w:szCs w:val="24"/>
                <w:lang w:eastAsia="en-US"/>
              </w:rPr>
            </w:pPr>
            <w:r w:rsidRPr="00500C0A">
              <w:rPr>
                <w:rFonts w:eastAsiaTheme="minorEastAsia"/>
                <w:b/>
                <w:bCs w:val="0"/>
                <w:szCs w:val="24"/>
                <w:lang w:eastAsia="en-US"/>
              </w:rPr>
              <w:t>Отлично</w:t>
            </w: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Cs w:val="0"/>
                <w:color w:val="000000"/>
                <w:szCs w:val="24"/>
                <w:lang w:eastAsia="en-US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1417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97C4F" w:rsidRPr="004F4F33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EastAsia"/>
                <w:b/>
                <w:color w:val="000000"/>
                <w:szCs w:val="24"/>
                <w:lang w:eastAsia="en-US"/>
              </w:rPr>
              <w:t>97</w:t>
            </w: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Cs w:val="0"/>
                <w:color w:val="000000"/>
                <w:szCs w:val="24"/>
                <w:lang w:eastAsia="en-US"/>
              </w:rPr>
              <w:t>Комфортность условий предоставления услуг</w:t>
            </w:r>
          </w:p>
        </w:tc>
        <w:tc>
          <w:tcPr>
            <w:tcW w:w="1417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97C4F" w:rsidRPr="004F4F33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EastAsia"/>
                <w:b/>
                <w:color w:val="000000"/>
                <w:szCs w:val="24"/>
                <w:lang w:eastAsia="en-US"/>
              </w:rPr>
              <w:t>90,5</w:t>
            </w: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Cs w:val="0"/>
                <w:color w:val="000000"/>
                <w:szCs w:val="24"/>
                <w:lang w:eastAsia="en-US"/>
              </w:rPr>
              <w:t>Доступность услуг для инвалидов</w:t>
            </w:r>
          </w:p>
        </w:tc>
        <w:tc>
          <w:tcPr>
            <w:tcW w:w="1417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>
              <w:rPr>
                <w:rFonts w:eastAsiaTheme="minorEastAsia"/>
                <w:b/>
                <w:color w:val="000000"/>
                <w:szCs w:val="24"/>
                <w:lang w:eastAsia="en-US"/>
              </w:rPr>
              <w:t>74,6</w:t>
            </w:r>
          </w:p>
        </w:tc>
        <w:tc>
          <w:tcPr>
            <w:tcW w:w="1560" w:type="dxa"/>
          </w:tcPr>
          <w:p w:rsidR="00C97C4F" w:rsidRPr="004F4F33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  <w:noWrap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Cs w:val="0"/>
                <w:color w:val="000000"/>
                <w:szCs w:val="24"/>
                <w:lang w:eastAsia="en-US"/>
              </w:rPr>
              <w:t xml:space="preserve">Доброжелательность, вежливость </w:t>
            </w:r>
          </w:p>
        </w:tc>
        <w:tc>
          <w:tcPr>
            <w:tcW w:w="1417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97C4F" w:rsidRPr="004F4F33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EastAsia"/>
                <w:b/>
                <w:color w:val="000000"/>
                <w:szCs w:val="24"/>
                <w:lang w:eastAsia="en-US"/>
              </w:rPr>
              <w:t>91,2</w:t>
            </w: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  <w:noWrap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Cs w:val="0"/>
                <w:color w:val="000000"/>
                <w:szCs w:val="24"/>
                <w:lang w:eastAsia="en-US"/>
              </w:rPr>
              <w:t>Удовлетворенность условиями оказания услуг</w:t>
            </w:r>
          </w:p>
        </w:tc>
        <w:tc>
          <w:tcPr>
            <w:tcW w:w="1417" w:type="dxa"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Cs w:val="0"/>
                <w:color w:val="000000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C97C4F" w:rsidRPr="004F4F33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  <w:r>
              <w:rPr>
                <w:rFonts w:eastAsiaTheme="minorEastAsia"/>
                <w:b/>
                <w:color w:val="000000"/>
                <w:szCs w:val="24"/>
                <w:lang w:eastAsia="en-US"/>
              </w:rPr>
              <w:t>85,6</w:t>
            </w:r>
          </w:p>
        </w:tc>
      </w:tr>
      <w:tr w:rsidR="00C97C4F" w:rsidRPr="004F4F33" w:rsidTr="00C97C4F">
        <w:trPr>
          <w:trHeight w:val="540"/>
        </w:trPr>
        <w:tc>
          <w:tcPr>
            <w:tcW w:w="6629" w:type="dxa"/>
            <w:noWrap/>
          </w:tcPr>
          <w:p w:rsidR="00C97C4F" w:rsidRPr="004F4F33" w:rsidRDefault="00C97C4F" w:rsidP="00E21591">
            <w:pPr>
              <w:autoSpaceDE/>
              <w:autoSpaceDN/>
              <w:adjustRightInd/>
              <w:spacing w:before="40" w:after="40" w:line="240" w:lineRule="auto"/>
              <w:ind w:firstLine="0"/>
              <w:jc w:val="left"/>
              <w:rPr>
                <w:rFonts w:eastAsiaTheme="minorEastAsia"/>
                <w:b/>
                <w:bCs w:val="0"/>
                <w:color w:val="000000"/>
                <w:szCs w:val="24"/>
                <w:lang w:eastAsia="en-US"/>
              </w:rPr>
            </w:pPr>
            <w:r w:rsidRPr="004F4F33">
              <w:rPr>
                <w:rFonts w:eastAsiaTheme="minorEastAsia"/>
                <w:b/>
                <w:bCs w:val="0"/>
                <w:color w:val="000000"/>
                <w:szCs w:val="24"/>
                <w:lang w:eastAsia="en-US"/>
              </w:rPr>
              <w:t>Итоговый балл</w:t>
            </w:r>
          </w:p>
        </w:tc>
        <w:tc>
          <w:tcPr>
            <w:tcW w:w="2977" w:type="dxa"/>
            <w:gridSpan w:val="2"/>
          </w:tcPr>
          <w:p w:rsidR="00C97C4F" w:rsidRPr="00C97C4F" w:rsidRDefault="00C97C4F" w:rsidP="001F6D61">
            <w:pPr>
              <w:autoSpaceDE/>
              <w:autoSpaceDN/>
              <w:adjustRightInd/>
              <w:spacing w:before="40" w:after="40" w:line="240" w:lineRule="auto"/>
              <w:ind w:firstLine="0"/>
              <w:jc w:val="center"/>
              <w:rPr>
                <w:rFonts w:eastAsiaTheme="minorEastAsia"/>
                <w:b/>
                <w:color w:val="000000"/>
                <w:szCs w:val="24"/>
                <w:lang w:eastAsia="en-US"/>
              </w:rPr>
            </w:pPr>
            <w:r w:rsidRPr="00C97C4F">
              <w:rPr>
                <w:b/>
                <w:szCs w:val="24"/>
              </w:rPr>
              <w:t>87,78</w:t>
            </w:r>
          </w:p>
        </w:tc>
      </w:tr>
    </w:tbl>
    <w:p w:rsidR="00C97C4F" w:rsidRPr="00B36081" w:rsidRDefault="00C97C4F" w:rsidP="00C97C4F">
      <w:pPr>
        <w:autoSpaceDE/>
        <w:autoSpaceDN/>
        <w:adjustRightInd/>
        <w:ind w:firstLine="0"/>
        <w:jc w:val="left"/>
        <w:rPr>
          <w:rFonts w:eastAsiaTheme="minorHAnsi"/>
          <w:bCs w:val="0"/>
          <w:szCs w:val="24"/>
          <w:lang w:eastAsia="en-US"/>
        </w:rPr>
      </w:pPr>
    </w:p>
    <w:p w:rsidR="0047025A" w:rsidRDefault="0047025A" w:rsidP="0047025A">
      <w:pPr>
        <w:autoSpaceDE/>
        <w:autoSpaceDN/>
        <w:adjustRightInd/>
        <w:rPr>
          <w:rFonts w:eastAsiaTheme="minorHAnsi"/>
          <w:bCs w:val="0"/>
          <w:szCs w:val="24"/>
          <w:lang w:eastAsia="en-US"/>
        </w:rPr>
      </w:pPr>
    </w:p>
    <w:p w:rsidR="00C97C4F" w:rsidRDefault="00C97C4F" w:rsidP="0047025A">
      <w:pPr>
        <w:autoSpaceDE/>
        <w:autoSpaceDN/>
        <w:adjustRightInd/>
        <w:rPr>
          <w:rFonts w:eastAsiaTheme="minorHAnsi"/>
          <w:bCs w:val="0"/>
          <w:szCs w:val="24"/>
          <w:lang w:eastAsia="en-US"/>
        </w:rPr>
      </w:pPr>
    </w:p>
    <w:p w:rsidR="00C97C4F" w:rsidRDefault="00C97C4F" w:rsidP="0047025A">
      <w:pPr>
        <w:autoSpaceDE/>
        <w:autoSpaceDN/>
        <w:adjustRightInd/>
        <w:rPr>
          <w:rFonts w:eastAsiaTheme="minorHAnsi"/>
          <w:bCs w:val="0"/>
          <w:szCs w:val="24"/>
          <w:lang w:eastAsia="en-US"/>
        </w:rPr>
      </w:pPr>
    </w:p>
    <w:p w:rsidR="00C97C4F" w:rsidRDefault="00C97C4F" w:rsidP="0047025A">
      <w:pPr>
        <w:autoSpaceDE/>
        <w:autoSpaceDN/>
        <w:adjustRightInd/>
        <w:rPr>
          <w:rFonts w:eastAsiaTheme="minorHAnsi"/>
          <w:bCs w:val="0"/>
          <w:szCs w:val="24"/>
          <w:lang w:eastAsia="en-US"/>
        </w:rPr>
      </w:pPr>
    </w:p>
    <w:sectPr w:rsidR="00C97C4F" w:rsidSect="00F3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CC0E38"/>
    <w:multiLevelType w:val="hybridMultilevel"/>
    <w:tmpl w:val="3830066E"/>
    <w:lvl w:ilvl="0" w:tplc="27E03AA8">
      <w:start w:val="1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</w:rPr>
    </w:lvl>
    <w:lvl w:ilvl="1" w:tplc="93104A8A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</w:rPr>
    </w:lvl>
    <w:lvl w:ilvl="2" w:tplc="06901E0E" w:tentative="1">
      <w:start w:val="1"/>
      <w:numFmt w:val="bullet"/>
      <w:lvlText w:val="−"/>
      <w:lvlJc w:val="left"/>
      <w:pPr>
        <w:tabs>
          <w:tab w:val="num" w:pos="2508"/>
        </w:tabs>
        <w:ind w:left="2508" w:hanging="360"/>
      </w:pPr>
      <w:rPr>
        <w:rFonts w:ascii="Calibri" w:hAnsi="Calibri" w:hint="default"/>
      </w:rPr>
    </w:lvl>
    <w:lvl w:ilvl="3" w:tplc="72386F6C" w:tentative="1">
      <w:start w:val="1"/>
      <w:numFmt w:val="bullet"/>
      <w:lvlText w:val="−"/>
      <w:lvlJc w:val="left"/>
      <w:pPr>
        <w:tabs>
          <w:tab w:val="num" w:pos="3228"/>
        </w:tabs>
        <w:ind w:left="3228" w:hanging="360"/>
      </w:pPr>
      <w:rPr>
        <w:rFonts w:ascii="Calibri" w:hAnsi="Calibri" w:hint="default"/>
      </w:rPr>
    </w:lvl>
    <w:lvl w:ilvl="4" w:tplc="DA8822DC" w:tentative="1">
      <w:start w:val="1"/>
      <w:numFmt w:val="bullet"/>
      <w:lvlText w:val="−"/>
      <w:lvlJc w:val="left"/>
      <w:pPr>
        <w:tabs>
          <w:tab w:val="num" w:pos="3948"/>
        </w:tabs>
        <w:ind w:left="3948" w:hanging="360"/>
      </w:pPr>
      <w:rPr>
        <w:rFonts w:ascii="Calibri" w:hAnsi="Calibri" w:hint="default"/>
      </w:rPr>
    </w:lvl>
    <w:lvl w:ilvl="5" w:tplc="A858ABAA" w:tentative="1">
      <w:start w:val="1"/>
      <w:numFmt w:val="bullet"/>
      <w:lvlText w:val="−"/>
      <w:lvlJc w:val="left"/>
      <w:pPr>
        <w:tabs>
          <w:tab w:val="num" w:pos="4668"/>
        </w:tabs>
        <w:ind w:left="4668" w:hanging="360"/>
      </w:pPr>
      <w:rPr>
        <w:rFonts w:ascii="Calibri" w:hAnsi="Calibri" w:hint="default"/>
      </w:rPr>
    </w:lvl>
    <w:lvl w:ilvl="6" w:tplc="0B0E58AA" w:tentative="1">
      <w:start w:val="1"/>
      <w:numFmt w:val="bullet"/>
      <w:lvlText w:val="−"/>
      <w:lvlJc w:val="left"/>
      <w:pPr>
        <w:tabs>
          <w:tab w:val="num" w:pos="5388"/>
        </w:tabs>
        <w:ind w:left="5388" w:hanging="360"/>
      </w:pPr>
      <w:rPr>
        <w:rFonts w:ascii="Calibri" w:hAnsi="Calibri" w:hint="default"/>
      </w:rPr>
    </w:lvl>
    <w:lvl w:ilvl="7" w:tplc="0E24BAF0" w:tentative="1">
      <w:start w:val="1"/>
      <w:numFmt w:val="bullet"/>
      <w:lvlText w:val="−"/>
      <w:lvlJc w:val="left"/>
      <w:pPr>
        <w:tabs>
          <w:tab w:val="num" w:pos="6108"/>
        </w:tabs>
        <w:ind w:left="6108" w:hanging="360"/>
      </w:pPr>
      <w:rPr>
        <w:rFonts w:ascii="Calibri" w:hAnsi="Calibri" w:hint="default"/>
      </w:rPr>
    </w:lvl>
    <w:lvl w:ilvl="8" w:tplc="187A8052" w:tentative="1">
      <w:start w:val="1"/>
      <w:numFmt w:val="bullet"/>
      <w:lvlText w:val="−"/>
      <w:lvlJc w:val="left"/>
      <w:pPr>
        <w:tabs>
          <w:tab w:val="num" w:pos="6828"/>
        </w:tabs>
        <w:ind w:left="6828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25A"/>
    <w:rsid w:val="0047025A"/>
    <w:rsid w:val="005C42B0"/>
    <w:rsid w:val="005D49DF"/>
    <w:rsid w:val="008E65CD"/>
    <w:rsid w:val="00C97C4F"/>
    <w:rsid w:val="00F33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25A"/>
    <w:pPr>
      <w:autoSpaceDE w:val="0"/>
      <w:autoSpaceDN w:val="0"/>
      <w:adjustRightInd w:val="0"/>
      <w:spacing w:after="0" w:line="360" w:lineRule="auto"/>
      <w:ind w:firstLine="426"/>
      <w:jc w:val="both"/>
    </w:pPr>
    <w:rPr>
      <w:rFonts w:ascii="Liberation Serif" w:eastAsia="Times New Roman" w:hAnsi="Liberation Serif" w:cs="Times New Roman"/>
      <w:b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5">
    <w:name w:val="Сетка таблицы45"/>
    <w:basedOn w:val="a1"/>
    <w:rsid w:val="0047025A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table" w:styleId="a3">
    <w:name w:val="Table Grid"/>
    <w:basedOn w:val="a1"/>
    <w:uiPriority w:val="59"/>
    <w:rsid w:val="00470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025A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47025A"/>
    <w:pPr>
      <w:keepNext/>
      <w:spacing w:before="120" w:after="120" w:line="240" w:lineRule="auto"/>
      <w:ind w:firstLine="0"/>
    </w:pPr>
    <w:rPr>
      <w:rFonts w:cs="Arial"/>
      <w:bCs w:val="0"/>
      <w:szCs w:val="24"/>
    </w:rPr>
  </w:style>
  <w:style w:type="table" w:customStyle="1" w:styleId="3">
    <w:name w:val="ПЕ_Таблица3"/>
    <w:basedOn w:val="a1"/>
    <w:next w:val="a3"/>
    <w:uiPriority w:val="59"/>
    <w:rsid w:val="0047025A"/>
    <w:pPr>
      <w:spacing w:after="0" w:line="240" w:lineRule="auto"/>
      <w:ind w:firstLine="709"/>
    </w:pPr>
    <w:rPr>
      <w:rFonts w:ascii="Times New Roman" w:eastAsiaTheme="minorEastAsia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2022-02-01T07:55:00Z</dcterms:created>
  <dcterms:modified xsi:type="dcterms:W3CDTF">2022-02-04T03:51:00Z</dcterms:modified>
</cp:coreProperties>
</file>